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D5E">
        <w:rPr>
          <w:rFonts w:ascii="MS Shell Dlg 2" w:hAnsi="MS Shell Dlg 2" w:cs="MS Shell Dlg 2"/>
          <w:noProof/>
          <w:sz w:val="40"/>
          <w:szCs w:val="40"/>
          <w:u w:val="single"/>
        </w:rPr>
        <w:t>Vibration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F23D5E" w:rsidRDefault="00D7782D" w:rsidP="00F23D5E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F23D5E" w:rsidRDefault="00F23D5E" w:rsidP="00F23D5E">
      <w:r>
        <w:t>La méthodologie impose de connaitre le type de vibration prévue pour la réalisation de l’ouvrage.</w:t>
      </w:r>
    </w:p>
    <w:p w:rsidR="00F23D5E" w:rsidRPr="00F23D5E" w:rsidRDefault="00F23D5E" w:rsidP="00F23D5E">
      <w:pPr>
        <w:spacing w:line="240" w:lineRule="auto"/>
        <w:rPr>
          <w:u w:val="single"/>
        </w:rPr>
      </w:pPr>
      <w:r>
        <w:rPr>
          <w:noProof/>
        </w:rPr>
        <w:drawing>
          <wp:inline distT="0" distB="0" distL="0" distR="0">
            <wp:extent cx="3708400" cy="466090"/>
            <wp:effectExtent l="0" t="0" r="6350" b="0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frmExigenceFormulation_Vibratio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0" cy="46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D5E" w:rsidRDefault="00F23D5E" w:rsidP="00F23D5E">
      <w:r>
        <w:t>Elle répartie la vibration en 4 modes :</w:t>
      </w:r>
    </w:p>
    <w:p w:rsidR="00F23D5E" w:rsidRDefault="00F23D5E" w:rsidP="00F23D5E">
      <w:pPr>
        <w:pStyle w:val="Paragraphedeliste"/>
        <w:numPr>
          <w:ilvl w:val="0"/>
          <w:numId w:val="19"/>
        </w:numPr>
        <w:jc w:val="both"/>
      </w:pPr>
      <w:r>
        <w:t>Leger</w:t>
      </w:r>
    </w:p>
    <w:p w:rsidR="00F23D5E" w:rsidRDefault="00F23D5E" w:rsidP="00F23D5E">
      <w:pPr>
        <w:pStyle w:val="Paragraphedeliste"/>
        <w:numPr>
          <w:ilvl w:val="0"/>
          <w:numId w:val="19"/>
        </w:numPr>
        <w:jc w:val="both"/>
      </w:pPr>
      <w:r>
        <w:t>Faible</w:t>
      </w:r>
    </w:p>
    <w:p w:rsidR="00F23D5E" w:rsidRDefault="00F23D5E" w:rsidP="00F23D5E">
      <w:pPr>
        <w:pStyle w:val="Paragraphedeliste"/>
        <w:numPr>
          <w:ilvl w:val="0"/>
          <w:numId w:val="19"/>
        </w:numPr>
        <w:jc w:val="both"/>
      </w:pPr>
      <w:r>
        <w:t>Normal</w:t>
      </w:r>
    </w:p>
    <w:p w:rsidR="00F23D5E" w:rsidRDefault="00F23D5E" w:rsidP="00F23D5E">
      <w:pPr>
        <w:pStyle w:val="Paragraphedeliste"/>
        <w:numPr>
          <w:ilvl w:val="0"/>
          <w:numId w:val="19"/>
        </w:numPr>
        <w:jc w:val="both"/>
      </w:pPr>
      <w:r>
        <w:t>Puissant</w:t>
      </w:r>
    </w:p>
    <w:p w:rsidR="00F23D5E" w:rsidRDefault="00F23D5E" w:rsidP="00F23D5E">
      <w:r>
        <w:t>Le mode de vibration léger correspond à un piquage ou léger piquage ou damage suivant le tableau ci-dessus.</w:t>
      </w:r>
    </w:p>
    <w:p w:rsidR="00F23D5E" w:rsidRDefault="00F23D5E" w:rsidP="00F23D5E">
      <w:r>
        <w:t>Le mode de vibration faible pourra correspondre, par exemple, à l’utilisation d’une règle vibrante pour un plancher de forte épaisseur.</w:t>
      </w:r>
    </w:p>
    <w:p w:rsidR="00F23D5E" w:rsidRDefault="00F23D5E" w:rsidP="00F23D5E">
      <w:r>
        <w:t>Le mode de vibration normal correspond à l’usage d’une aiguille vibrante, soit la classification vibration courante ou bonne vibration suivant le tableau ci-dessus.</w:t>
      </w:r>
    </w:p>
    <w:p w:rsidR="00F23D5E" w:rsidRDefault="00F23D5E" w:rsidP="00F23D5E">
      <w:r>
        <w:t>Le mode de vibration puissant correspond à l’usage d’une table vibrante, de banche vibrante, de coffrage vibrant.</w:t>
      </w:r>
    </w:p>
    <w:p w:rsidR="00F23D5E" w:rsidRDefault="00F23D5E" w:rsidP="00F23D5E">
      <w:r>
        <w:t>La détermination de ces modes de vibration est nécessaire pour :</w:t>
      </w:r>
    </w:p>
    <w:p w:rsidR="00F23D5E" w:rsidRDefault="00F23D5E" w:rsidP="00F23D5E">
      <w:pPr>
        <w:pStyle w:val="Paragraphedeliste"/>
        <w:numPr>
          <w:ilvl w:val="0"/>
          <w:numId w:val="20"/>
        </w:numPr>
        <w:jc w:val="both"/>
      </w:pPr>
      <w:r>
        <w:t xml:space="preserve">Le calcul de la compacité suivant le tableau 10-13 de </w:t>
      </w:r>
      <w:hyperlink w:anchor="Biblio_Dreux" w:history="1">
        <w:r w:rsidRPr="00A24413">
          <w:rPr>
            <w:rStyle w:val="Lienhypertexte"/>
          </w:rPr>
          <w:t>[1]</w:t>
        </w:r>
      </w:hyperlink>
    </w:p>
    <w:p w:rsidR="00F23D5E" w:rsidRDefault="00F23D5E" w:rsidP="00F23D5E">
      <w:pPr>
        <w:pStyle w:val="Paragraphedeliste"/>
        <w:numPr>
          <w:ilvl w:val="0"/>
          <w:numId w:val="20"/>
        </w:numPr>
        <w:jc w:val="both"/>
      </w:pPr>
      <w:r>
        <w:t xml:space="preserve">Le calcul du coefficient correctif pour le point de brisure A dans le tracé de la courbe granulaire de référence (tableau 10-12 de </w:t>
      </w:r>
      <w:hyperlink w:anchor="Biblio_Dreux" w:history="1">
        <w:r w:rsidRPr="00A24413">
          <w:rPr>
            <w:rStyle w:val="Lienhypertexte"/>
          </w:rPr>
          <w:t>[1]</w:t>
        </w:r>
      </w:hyperlink>
      <w:r>
        <w:t xml:space="preserve"> )</w:t>
      </w:r>
      <w:r>
        <w:t xml:space="preserve">. Pour ce </w:t>
      </w:r>
      <w:r>
        <w:t>tableau, Leger et Faible sont assimilés à Faible.</w:t>
      </w:r>
      <w:bookmarkStart w:id="0" w:name="_GoBack"/>
      <w:bookmarkEnd w:id="0"/>
    </w:p>
    <w:p w:rsidR="00B81445" w:rsidRDefault="00B81445" w:rsidP="00356AC9"/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F23D5E">
        <w:t>28 déce</w:t>
      </w:r>
      <w:r w:rsidR="00513B6C">
        <w:t>mbre</w:t>
      </w:r>
      <w:r w:rsidR="00C163E6">
        <w:t xml:space="preserve"> </w:t>
      </w:r>
      <w:r w:rsidR="00BD179B">
        <w:t>202</w:t>
      </w:r>
      <w:r w:rsidR="00C163E6">
        <w:t>5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F23D5E" w:rsidP="00C163E6">
      <w:pPr>
        <w:pStyle w:val="Paragraphedeliste"/>
        <w:numPr>
          <w:ilvl w:val="0"/>
          <w:numId w:val="1"/>
        </w:numPr>
        <w:spacing w:line="240" w:lineRule="auto"/>
      </w:pPr>
      <w:r>
        <w:t xml:space="preserve">[1] </w:t>
      </w:r>
      <w:r w:rsidR="00513B6C">
        <w:t>« Nouveau guide du béton et de ses constituants » - 8</w:t>
      </w:r>
      <w:r w:rsidR="00513B6C" w:rsidRPr="005B5122">
        <w:rPr>
          <w:vertAlign w:val="superscript"/>
        </w:rPr>
        <w:t>ième</w:t>
      </w:r>
      <w:r w:rsidR="00513B6C">
        <w:t xml:space="preserve"> édition 1998 3</w:t>
      </w:r>
      <w:r w:rsidR="00513B6C" w:rsidRPr="00D75B78">
        <w:rPr>
          <w:vertAlign w:val="superscript"/>
        </w:rPr>
        <w:t>ième</w:t>
      </w:r>
      <w:r w:rsidR="00513B6C"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F3503"/>
    <w:multiLevelType w:val="hybridMultilevel"/>
    <w:tmpl w:val="05947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70F2A"/>
    <w:multiLevelType w:val="hybridMultilevel"/>
    <w:tmpl w:val="FDD20D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C68DA"/>
    <w:multiLevelType w:val="multilevel"/>
    <w:tmpl w:val="D44E4F2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8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1"/>
  </w:num>
  <w:num w:numId="8">
    <w:abstractNumId w:val="14"/>
  </w:num>
  <w:num w:numId="9">
    <w:abstractNumId w:val="4"/>
  </w:num>
  <w:num w:numId="10">
    <w:abstractNumId w:val="9"/>
  </w:num>
  <w:num w:numId="11">
    <w:abstractNumId w:val="10"/>
  </w:num>
  <w:num w:numId="12">
    <w:abstractNumId w:val="13"/>
  </w:num>
  <w:num w:numId="13">
    <w:abstractNumId w:val="15"/>
  </w:num>
  <w:num w:numId="14">
    <w:abstractNumId w:val="16"/>
  </w:num>
  <w:num w:numId="15">
    <w:abstractNumId w:val="17"/>
  </w:num>
  <w:num w:numId="16">
    <w:abstractNumId w:val="3"/>
  </w:num>
  <w:num w:numId="17">
    <w:abstractNumId w:val="2"/>
  </w:num>
  <w:num w:numId="18">
    <w:abstractNumId w:val="19"/>
  </w:num>
  <w:num w:numId="19">
    <w:abstractNumId w:val="1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23D5E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D85C7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F23D5E"/>
    <w:pPr>
      <w:keepNext/>
      <w:widowControl w:val="0"/>
      <w:numPr>
        <w:numId w:val="18"/>
      </w:numPr>
      <w:autoSpaceDE w:val="0"/>
      <w:autoSpaceDN w:val="0"/>
      <w:adjustRightInd w:val="0"/>
      <w:spacing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F23D5E"/>
    <w:pPr>
      <w:keepNext/>
      <w:numPr>
        <w:ilvl w:val="1"/>
        <w:numId w:val="18"/>
      </w:numPr>
      <w:shd w:val="clear" w:color="auto" w:fill="FBD4B4" w:themeFill="accent6" w:themeFillTint="66"/>
      <w:autoSpaceDE w:val="0"/>
      <w:autoSpaceDN w:val="0"/>
      <w:adjustRightInd w:val="0"/>
      <w:spacing w:before="240" w:after="240" w:line="240" w:lineRule="auto"/>
      <w:jc w:val="both"/>
      <w:outlineLvl w:val="1"/>
    </w:pPr>
    <w:rPr>
      <w:rFonts w:ascii="Times New Roman" w:eastAsia="Times New Roman" w:hAnsi="Times New Roman" w:cstheme="minorHAnsi"/>
      <w:b/>
      <w:bCs/>
      <w:sz w:val="28"/>
      <w:szCs w:val="32"/>
    </w:rPr>
  </w:style>
  <w:style w:type="paragraph" w:styleId="Titre3">
    <w:name w:val="heading 3"/>
    <w:basedOn w:val="Normal"/>
    <w:next w:val="Normal"/>
    <w:link w:val="Titre3Car"/>
    <w:autoRedefine/>
    <w:uiPriority w:val="99"/>
    <w:qFormat/>
    <w:rsid w:val="00F23D5E"/>
    <w:pPr>
      <w:keepNext/>
      <w:widowControl w:val="0"/>
      <w:numPr>
        <w:ilvl w:val="2"/>
        <w:numId w:val="18"/>
      </w:numPr>
      <w:pBdr>
        <w:bottom w:val="single" w:sz="4" w:space="1" w:color="auto"/>
      </w:pBdr>
      <w:autoSpaceDE w:val="0"/>
      <w:autoSpaceDN w:val="0"/>
      <w:adjustRightInd w:val="0"/>
      <w:spacing w:before="240" w:after="24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re4">
    <w:name w:val="heading 4"/>
    <w:basedOn w:val="Normal"/>
    <w:next w:val="Normal"/>
    <w:link w:val="Titre4Car"/>
    <w:autoRedefine/>
    <w:uiPriority w:val="99"/>
    <w:qFormat/>
    <w:rsid w:val="00F23D5E"/>
    <w:pPr>
      <w:keepNext/>
      <w:numPr>
        <w:ilvl w:val="3"/>
        <w:numId w:val="18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bCs/>
      <w:szCs w:val="20"/>
      <w:u w:val="single"/>
    </w:rPr>
  </w:style>
  <w:style w:type="paragraph" w:styleId="Titre5">
    <w:name w:val="heading 5"/>
    <w:basedOn w:val="Normal"/>
    <w:next w:val="Normal"/>
    <w:link w:val="Titre5Car"/>
    <w:autoRedefine/>
    <w:uiPriority w:val="99"/>
    <w:qFormat/>
    <w:rsid w:val="00F23D5E"/>
    <w:pPr>
      <w:keepNext/>
      <w:numPr>
        <w:ilvl w:val="4"/>
        <w:numId w:val="18"/>
      </w:numPr>
      <w:autoSpaceDE w:val="0"/>
      <w:autoSpaceDN w:val="0"/>
      <w:adjustRightInd w:val="0"/>
      <w:spacing w:after="240" w:line="240" w:lineRule="auto"/>
      <w:ind w:left="1716"/>
      <w:jc w:val="both"/>
      <w:outlineLvl w:val="4"/>
    </w:pPr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paragraph" w:styleId="Titre6">
    <w:name w:val="heading 6"/>
    <w:basedOn w:val="Normal"/>
    <w:next w:val="Normal"/>
    <w:link w:val="Titre6Car"/>
    <w:uiPriority w:val="99"/>
    <w:qFormat/>
    <w:rsid w:val="00F23D5E"/>
    <w:pPr>
      <w:keepNext/>
      <w:numPr>
        <w:ilvl w:val="5"/>
        <w:numId w:val="18"/>
      </w:numPr>
      <w:autoSpaceDE w:val="0"/>
      <w:autoSpaceDN w:val="0"/>
      <w:adjustRightInd w:val="0"/>
      <w:spacing w:after="0" w:line="240" w:lineRule="auto"/>
      <w:jc w:val="both"/>
      <w:outlineLvl w:val="5"/>
    </w:pPr>
    <w:rPr>
      <w:rFonts w:ascii="Courier New" w:eastAsia="Times New Roman" w:hAnsi="Courier New" w:cs="Courier New"/>
      <w:sz w:val="20"/>
      <w:szCs w:val="20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F23D5E"/>
    <w:pPr>
      <w:keepNext/>
      <w:numPr>
        <w:ilvl w:val="6"/>
        <w:numId w:val="18"/>
      </w:numPr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rsid w:val="00F23D5E"/>
    <w:pPr>
      <w:keepNext/>
      <w:numPr>
        <w:ilvl w:val="7"/>
        <w:numId w:val="18"/>
      </w:numPr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F23D5E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F23D5E"/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character" w:customStyle="1" w:styleId="Titre2Car">
    <w:name w:val="Titre 2 Car"/>
    <w:basedOn w:val="Policepardfaut"/>
    <w:link w:val="Titre2"/>
    <w:uiPriority w:val="99"/>
    <w:rsid w:val="00F23D5E"/>
    <w:rPr>
      <w:rFonts w:ascii="Times New Roman" w:eastAsia="Times New Roman" w:hAnsi="Times New Roman" w:cstheme="minorHAnsi"/>
      <w:b/>
      <w:bCs/>
      <w:sz w:val="28"/>
      <w:szCs w:val="32"/>
      <w:shd w:val="clear" w:color="auto" w:fill="FBD4B4" w:themeFill="accent6" w:themeFillTint="66"/>
    </w:rPr>
  </w:style>
  <w:style w:type="character" w:customStyle="1" w:styleId="Titre3Car">
    <w:name w:val="Titre 3 Car"/>
    <w:basedOn w:val="Policepardfaut"/>
    <w:link w:val="Titre3"/>
    <w:uiPriority w:val="99"/>
    <w:rsid w:val="00F23D5E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itre4Car">
    <w:name w:val="Titre 4 Car"/>
    <w:basedOn w:val="Policepardfaut"/>
    <w:link w:val="Titre4"/>
    <w:uiPriority w:val="99"/>
    <w:rsid w:val="00F23D5E"/>
    <w:rPr>
      <w:rFonts w:ascii="Times New Roman" w:eastAsia="Times New Roman" w:hAnsi="Times New Roman" w:cs="Times New Roman"/>
      <w:bCs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9"/>
    <w:rsid w:val="00F23D5E"/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character" w:customStyle="1" w:styleId="Titre6Car">
    <w:name w:val="Titre 6 Car"/>
    <w:basedOn w:val="Policepardfaut"/>
    <w:link w:val="Titre6"/>
    <w:uiPriority w:val="99"/>
    <w:rsid w:val="00F23D5E"/>
    <w:rPr>
      <w:rFonts w:ascii="Courier New" w:eastAsia="Times New Roman" w:hAnsi="Courier New" w:cs="Courier New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F23D5E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Titre8Car">
    <w:name w:val="Titre 8 Car"/>
    <w:basedOn w:val="Policepardfaut"/>
    <w:link w:val="Titre8"/>
    <w:uiPriority w:val="99"/>
    <w:rsid w:val="00F23D5E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rsid w:val="00F23D5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styleId="Lienhypertexte">
    <w:name w:val="Hyperlink"/>
    <w:basedOn w:val="Policepardfaut"/>
    <w:uiPriority w:val="99"/>
    <w:rsid w:val="00F23D5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220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5</cp:revision>
  <dcterms:created xsi:type="dcterms:W3CDTF">2025-11-16T14:41:00Z</dcterms:created>
  <dcterms:modified xsi:type="dcterms:W3CDTF">2025-12-28T21:17:00Z</dcterms:modified>
</cp:coreProperties>
</file>